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3" w:rsidRPr="007B10AA" w:rsidRDefault="00D249B3" w:rsidP="00D249B3">
      <w:pPr>
        <w:jc w:val="center"/>
        <w:rPr>
          <w:rFonts w:hAnsi="標楷體"/>
          <w:b/>
          <w:sz w:val="28"/>
          <w:szCs w:val="28"/>
        </w:rPr>
      </w:pPr>
      <w:bookmarkStart w:id="0" w:name="_Toc349053289"/>
      <w:r>
        <w:rPr>
          <w:rFonts w:hAnsi="標楷體" w:hint="eastAsia"/>
          <w:b/>
          <w:sz w:val="28"/>
          <w:szCs w:val="28"/>
        </w:rPr>
        <w:t>嘉義縣</w:t>
      </w:r>
      <w:r w:rsidRPr="007B10AA">
        <w:rPr>
          <w:rFonts w:hAnsi="標楷體" w:hint="eastAsia"/>
          <w:b/>
          <w:sz w:val="28"/>
          <w:szCs w:val="28"/>
        </w:rPr>
        <w:t>○○幼兒園○學年度飲用水水質檢測紀錄表</w:t>
      </w:r>
      <w:bookmarkEnd w:id="0"/>
    </w:p>
    <w:tbl>
      <w:tblPr>
        <w:tblW w:w="5233" w:type="pct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59"/>
        <w:gridCol w:w="1217"/>
        <w:gridCol w:w="1545"/>
        <w:gridCol w:w="1547"/>
        <w:gridCol w:w="1590"/>
        <w:gridCol w:w="1310"/>
        <w:gridCol w:w="1545"/>
      </w:tblGrid>
      <w:tr w:rsidR="00D249B3" w:rsidRPr="007B10AA" w:rsidTr="00D249B3">
        <w:trPr>
          <w:trHeight w:val="680"/>
          <w:jc w:val="center"/>
        </w:trPr>
        <w:tc>
          <w:tcPr>
            <w:tcW w:w="756" w:type="pct"/>
            <w:vAlign w:val="center"/>
          </w:tcPr>
          <w:p w:rsidR="00D249B3" w:rsidRPr="007B10AA" w:rsidRDefault="00D249B3" w:rsidP="004B23AD">
            <w:pPr>
              <w:jc w:val="center"/>
              <w:rPr>
                <w:rFonts w:hAnsi="標楷體" w:hint="eastAsia"/>
              </w:rPr>
            </w:pPr>
            <w:r w:rsidRPr="007B10AA">
              <w:rPr>
                <w:rFonts w:hAnsi="標楷體" w:hint="eastAsia"/>
              </w:rPr>
              <w:t>編號及</w:t>
            </w:r>
          </w:p>
          <w:p w:rsidR="00D249B3" w:rsidRPr="007B10AA" w:rsidRDefault="00D249B3" w:rsidP="004B23AD">
            <w:pPr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置放地點</w:t>
            </w:r>
          </w:p>
        </w:tc>
        <w:tc>
          <w:tcPr>
            <w:tcW w:w="590" w:type="pct"/>
            <w:vAlign w:val="center"/>
          </w:tcPr>
          <w:p w:rsidR="00D249B3" w:rsidRPr="007B10AA" w:rsidRDefault="00D249B3" w:rsidP="004B23AD">
            <w:pPr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  <w:kern w:val="0"/>
              </w:rPr>
              <w:t>送檢日期</w:t>
            </w:r>
          </w:p>
        </w:tc>
        <w:tc>
          <w:tcPr>
            <w:tcW w:w="1499" w:type="pct"/>
            <w:gridSpan w:val="2"/>
            <w:vAlign w:val="center"/>
          </w:tcPr>
          <w:p w:rsidR="00D249B3" w:rsidRPr="007B10AA" w:rsidRDefault="00D249B3" w:rsidP="004B23AD">
            <w:pPr>
              <w:jc w:val="center"/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檢查結果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  <w:kern w:val="0"/>
              </w:rPr>
              <w:t>檢測單位</w:t>
            </w:r>
          </w:p>
        </w:tc>
        <w:tc>
          <w:tcPr>
            <w:tcW w:w="635" w:type="pct"/>
            <w:vAlign w:val="center"/>
          </w:tcPr>
          <w:p w:rsidR="00D249B3" w:rsidRPr="007B10AA" w:rsidRDefault="00D249B3" w:rsidP="004B23AD">
            <w:pPr>
              <w:jc w:val="center"/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承辦人</w:t>
            </w: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  <w:kern w:val="0"/>
              </w:rPr>
              <w:t>園長/主任</w:t>
            </w:r>
          </w:p>
        </w:tc>
      </w:tr>
      <w:tr w:rsidR="00D249B3" w:rsidRPr="007B10AA" w:rsidTr="00D249B3">
        <w:trPr>
          <w:trHeight w:val="345"/>
          <w:jc w:val="center"/>
        </w:trPr>
        <w:tc>
          <w:tcPr>
            <w:tcW w:w="756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spacing w:val="-20"/>
              </w:rPr>
              <w:t>大腸桿菌群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6.0</w:t>
              </w:r>
              <w:r w:rsidRPr="007B10AA">
                <w:rPr>
                  <w:rFonts w:hAnsi="標楷體" w:hint="eastAsia"/>
                  <w:spacing w:val="-20"/>
                </w:rPr>
                <w:t xml:space="preserve"> </w:t>
              </w:r>
              <w:r w:rsidRPr="007B10AA">
                <w:rPr>
                  <w:rFonts w:hAnsi="標楷體"/>
                  <w:spacing w:val="-20"/>
                </w:rPr>
                <w:t>M</w:t>
              </w:r>
            </w:smartTag>
            <w:r w:rsidRPr="007B10AA">
              <w:rPr>
                <w:rFonts w:hAnsi="標楷體"/>
                <w:spacing w:val="-20"/>
              </w:rPr>
              <w:t>PN/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100m</w:t>
              </w:r>
            </w:smartTag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51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spacing w:val="-20"/>
              </w:rPr>
              <w:t>硝酸鹽氮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10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555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proofErr w:type="gramStart"/>
            <w:r w:rsidRPr="007B10AA">
              <w:rPr>
                <w:rFonts w:hAnsi="標楷體" w:hint="eastAsia"/>
                <w:spacing w:val="-20"/>
              </w:rPr>
              <w:t>砷</w:t>
            </w:r>
            <w:proofErr w:type="gramEnd"/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0.05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spacing w:val="-20"/>
              </w:rPr>
              <w:t>大腸桿菌群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6.0</w:t>
              </w:r>
              <w:r w:rsidRPr="007B10AA">
                <w:rPr>
                  <w:rFonts w:hAnsi="標楷體" w:hint="eastAsia"/>
                  <w:spacing w:val="-20"/>
                </w:rPr>
                <w:t xml:space="preserve"> </w:t>
              </w:r>
              <w:r w:rsidRPr="007B10AA">
                <w:rPr>
                  <w:rFonts w:hAnsi="標楷體"/>
                  <w:spacing w:val="-20"/>
                </w:rPr>
                <w:t>M</w:t>
              </w:r>
            </w:smartTag>
            <w:r w:rsidRPr="007B10AA">
              <w:rPr>
                <w:rFonts w:hAnsi="標楷體"/>
                <w:spacing w:val="-20"/>
              </w:rPr>
              <w:t>PN/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100m</w:t>
              </w:r>
            </w:smartTag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spacing w:val="-20"/>
              </w:rPr>
              <w:t>硝酸鹽氮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10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proofErr w:type="gramStart"/>
            <w:r w:rsidRPr="007B10AA">
              <w:rPr>
                <w:rFonts w:hAnsi="標楷體" w:hint="eastAsia"/>
                <w:spacing w:val="-20"/>
              </w:rPr>
              <w:t>砷</w:t>
            </w:r>
            <w:proofErr w:type="gramEnd"/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0.05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spacing w:val="-20"/>
              </w:rPr>
              <w:t>大腸桿菌群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6.0</w:t>
              </w:r>
              <w:r w:rsidRPr="007B10AA">
                <w:rPr>
                  <w:rFonts w:hAnsi="標楷體" w:hint="eastAsia"/>
                  <w:spacing w:val="-20"/>
                </w:rPr>
                <w:t xml:space="preserve"> </w:t>
              </w:r>
              <w:r w:rsidRPr="007B10AA">
                <w:rPr>
                  <w:rFonts w:hAnsi="標楷體"/>
                  <w:spacing w:val="-20"/>
                </w:rPr>
                <w:t>M</w:t>
              </w:r>
            </w:smartTag>
            <w:r w:rsidRPr="007B10AA">
              <w:rPr>
                <w:rFonts w:hAnsi="標楷體"/>
                <w:spacing w:val="-20"/>
              </w:rPr>
              <w:t>PN/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100m</w:t>
              </w:r>
            </w:smartTag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spacing w:val="-20"/>
              </w:rPr>
              <w:t>硝酸鹽氮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10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proofErr w:type="gramStart"/>
            <w:r w:rsidRPr="007B10AA">
              <w:rPr>
                <w:rFonts w:hAnsi="標楷體" w:hint="eastAsia"/>
                <w:spacing w:val="-20"/>
              </w:rPr>
              <w:t>砷</w:t>
            </w:r>
            <w:proofErr w:type="gramEnd"/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0.05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spacing w:val="-20"/>
              </w:rPr>
              <w:t>大腸桿菌群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6.0</w:t>
              </w:r>
              <w:r w:rsidRPr="007B10AA">
                <w:rPr>
                  <w:rFonts w:hAnsi="標楷體" w:hint="eastAsia"/>
                  <w:spacing w:val="-20"/>
                </w:rPr>
                <w:t xml:space="preserve"> </w:t>
              </w:r>
              <w:r w:rsidRPr="007B10AA">
                <w:rPr>
                  <w:rFonts w:hAnsi="標楷體"/>
                  <w:spacing w:val="-20"/>
                </w:rPr>
                <w:t>M</w:t>
              </w:r>
            </w:smartTag>
            <w:r w:rsidRPr="007B10AA">
              <w:rPr>
                <w:rFonts w:hAnsi="標楷體"/>
                <w:spacing w:val="-20"/>
              </w:rPr>
              <w:t>PN/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100m</w:t>
              </w:r>
            </w:smartTag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spacing w:val="-20"/>
              </w:rPr>
              <w:t>硝酸鹽氮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10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proofErr w:type="gramStart"/>
            <w:r w:rsidRPr="007B10AA">
              <w:rPr>
                <w:rFonts w:hAnsi="標楷體" w:hint="eastAsia"/>
                <w:spacing w:val="-20"/>
              </w:rPr>
              <w:t>砷</w:t>
            </w:r>
            <w:proofErr w:type="gramEnd"/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0.05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spacing w:val="-20"/>
              </w:rPr>
              <w:t>大腸桿菌群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6.0</w:t>
              </w:r>
              <w:r w:rsidRPr="007B10AA">
                <w:rPr>
                  <w:rFonts w:hAnsi="標楷體" w:hint="eastAsia"/>
                  <w:spacing w:val="-20"/>
                </w:rPr>
                <w:t xml:space="preserve"> </w:t>
              </w:r>
              <w:r w:rsidRPr="007B10AA">
                <w:rPr>
                  <w:rFonts w:hAnsi="標楷體"/>
                  <w:spacing w:val="-20"/>
                </w:rPr>
                <w:t>M</w:t>
              </w:r>
            </w:smartTag>
            <w:r w:rsidRPr="007B10AA">
              <w:rPr>
                <w:rFonts w:hAnsi="標楷體"/>
                <w:spacing w:val="-20"/>
              </w:rPr>
              <w:t>PN/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B10AA">
                <w:rPr>
                  <w:rFonts w:hAnsi="標楷體"/>
                  <w:spacing w:val="-20"/>
                </w:rPr>
                <w:t>100m</w:t>
              </w:r>
            </w:smartTag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spacing w:val="-20"/>
              </w:rPr>
              <w:t>硝酸鹽氮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10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  <w:tr w:rsidR="00D249B3" w:rsidRPr="007B10AA" w:rsidTr="00D249B3">
        <w:trPr>
          <w:trHeight w:val="680"/>
          <w:jc w:val="center"/>
        </w:trPr>
        <w:tc>
          <w:tcPr>
            <w:tcW w:w="756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D249B3" w:rsidRPr="007B10AA" w:rsidRDefault="00D249B3" w:rsidP="004B23AD">
            <w:pPr>
              <w:rPr>
                <w:rFonts w:hAnsi="標楷體"/>
                <w:kern w:val="0"/>
              </w:rPr>
            </w:pPr>
          </w:p>
        </w:tc>
        <w:tc>
          <w:tcPr>
            <w:tcW w:w="749" w:type="pct"/>
          </w:tcPr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proofErr w:type="gramStart"/>
            <w:r w:rsidRPr="007B10AA">
              <w:rPr>
                <w:rFonts w:hAnsi="標楷體" w:hint="eastAsia"/>
                <w:spacing w:val="-20"/>
              </w:rPr>
              <w:t>砷</w:t>
            </w:r>
            <w:proofErr w:type="gramEnd"/>
          </w:p>
          <w:p w:rsidR="00D249B3" w:rsidRPr="007B10AA" w:rsidRDefault="00D249B3" w:rsidP="004B23AD">
            <w:pPr>
              <w:rPr>
                <w:rFonts w:hAnsi="標楷體" w:hint="eastAsia"/>
                <w:spacing w:val="-20"/>
              </w:rPr>
            </w:pPr>
            <w:r w:rsidRPr="007B10AA">
              <w:rPr>
                <w:rFonts w:hAnsi="標楷體"/>
                <w:spacing w:val="-20"/>
              </w:rPr>
              <w:t>0.05</w:t>
            </w:r>
            <w:r w:rsidRPr="007B10AA">
              <w:rPr>
                <w:rFonts w:hAnsi="標楷體" w:hint="eastAsia"/>
                <w:spacing w:val="-20"/>
              </w:rPr>
              <w:t xml:space="preserve"> </w:t>
            </w:r>
            <w:r w:rsidRPr="007B10AA">
              <w:rPr>
                <w:rFonts w:hAnsi="標楷體"/>
                <w:spacing w:val="-20"/>
              </w:rPr>
              <w:t>mg/L</w:t>
            </w:r>
          </w:p>
        </w:tc>
        <w:tc>
          <w:tcPr>
            <w:tcW w:w="750" w:type="pct"/>
          </w:tcPr>
          <w:p w:rsidR="00D249B3" w:rsidRPr="007B10AA" w:rsidRDefault="00D249B3" w:rsidP="004B23AD">
            <w:pPr>
              <w:rPr>
                <w:rFonts w:hAnsi="標楷體" w:hint="eastAsia"/>
                <w:kern w:val="0"/>
              </w:rPr>
            </w:pPr>
            <w:r w:rsidRPr="007B10AA">
              <w:rPr>
                <w:rFonts w:hAnsi="標楷體" w:hint="eastAsia"/>
                <w:kern w:val="0"/>
              </w:rPr>
              <w:t>□符合</w:t>
            </w:r>
          </w:p>
          <w:p w:rsidR="00D249B3" w:rsidRPr="007B10AA" w:rsidRDefault="00D249B3" w:rsidP="004B23AD">
            <w:pPr>
              <w:rPr>
                <w:rFonts w:hAnsi="標楷體" w:hint="eastAsia"/>
                <w:sz w:val="36"/>
                <w:szCs w:val="36"/>
              </w:rPr>
            </w:pPr>
            <w:r w:rsidRPr="007B10AA">
              <w:rPr>
                <w:rFonts w:hAnsi="標楷體" w:hint="eastAsia"/>
                <w:kern w:val="0"/>
              </w:rPr>
              <w:t>□不符合</w:t>
            </w:r>
          </w:p>
        </w:tc>
        <w:tc>
          <w:tcPr>
            <w:tcW w:w="771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36"/>
                <w:szCs w:val="36"/>
              </w:rPr>
            </w:pPr>
          </w:p>
        </w:tc>
        <w:tc>
          <w:tcPr>
            <w:tcW w:w="635" w:type="pct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D249B3" w:rsidRPr="007B10AA" w:rsidRDefault="00D249B3" w:rsidP="004B23AD">
            <w:pPr>
              <w:rPr>
                <w:rFonts w:hAnsi="標楷體"/>
                <w:sz w:val="28"/>
                <w:szCs w:val="28"/>
              </w:rPr>
            </w:pPr>
          </w:p>
        </w:tc>
      </w:tr>
    </w:tbl>
    <w:p w:rsidR="000F4A39" w:rsidRDefault="00EF4A34"/>
    <w:sectPr w:rsidR="000F4A39" w:rsidSect="00D249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34" w:rsidRDefault="00EF4A34" w:rsidP="00D249B3">
      <w:r>
        <w:separator/>
      </w:r>
    </w:p>
  </w:endnote>
  <w:endnote w:type="continuationSeparator" w:id="0">
    <w:p w:rsidR="00EF4A34" w:rsidRDefault="00EF4A34" w:rsidP="00D2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34" w:rsidRDefault="00EF4A34" w:rsidP="00D249B3">
      <w:r>
        <w:separator/>
      </w:r>
    </w:p>
  </w:footnote>
  <w:footnote w:type="continuationSeparator" w:id="0">
    <w:p w:rsidR="00EF4A34" w:rsidRDefault="00EF4A34" w:rsidP="00D2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B3"/>
    <w:rsid w:val="00952E27"/>
    <w:rsid w:val="00B1625A"/>
    <w:rsid w:val="00D249B3"/>
    <w:rsid w:val="00DF557A"/>
    <w:rsid w:val="00E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B3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9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49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49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49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Apple Su</cp:lastModifiedBy>
  <cp:revision>1</cp:revision>
  <dcterms:created xsi:type="dcterms:W3CDTF">2018-05-24T09:02:00Z</dcterms:created>
  <dcterms:modified xsi:type="dcterms:W3CDTF">2018-05-24T09:07:00Z</dcterms:modified>
</cp:coreProperties>
</file>