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0E0" w:rsidRDefault="0070762D">
      <w:pPr>
        <w:spacing w:after="71" w:line="259" w:lineRule="auto"/>
        <w:ind w:left="0" w:right="58" w:firstLine="0"/>
        <w:jc w:val="center"/>
      </w:pPr>
      <w:r>
        <w:rPr>
          <w:rFonts w:hint="eastAsia"/>
          <w:sz w:val="32"/>
        </w:rPr>
        <w:t>嘉義縣</w:t>
      </w:r>
      <w:r w:rsidR="00577215">
        <w:rPr>
          <w:sz w:val="32"/>
        </w:rPr>
        <w:t xml:space="preserve">符合補助要件幼兒園之稽核及追蹤改善計畫 </w:t>
      </w:r>
    </w:p>
    <w:p w:rsidR="002C50E0" w:rsidRDefault="00577215">
      <w:pPr>
        <w:spacing w:after="0" w:line="259" w:lineRule="auto"/>
        <w:ind w:left="103" w:firstLine="0"/>
        <w:jc w:val="center"/>
      </w:pPr>
      <w:r>
        <w:rPr>
          <w:sz w:val="32"/>
        </w:rPr>
        <w:t xml:space="preserve"> </w:t>
      </w:r>
    </w:p>
    <w:p w:rsidR="002C50E0" w:rsidRDefault="00577215">
      <w:pPr>
        <w:ind w:left="-5"/>
      </w:pPr>
      <w:r>
        <w:t xml:space="preserve">壹、依據 </w:t>
      </w:r>
    </w:p>
    <w:p w:rsidR="002C50E0" w:rsidRDefault="00577215">
      <w:pPr>
        <w:numPr>
          <w:ilvl w:val="0"/>
          <w:numId w:val="1"/>
        </w:numPr>
        <w:ind w:hanging="480"/>
      </w:pPr>
      <w:r>
        <w:t xml:space="preserve">依據「幼兒教育及照顧法」、「幼兒就讀幼兒園補助辦法」及教育部「102學年至106 學年符合補助要件幼兒園應符合法令規定之項目」辦理。 </w:t>
      </w:r>
    </w:p>
    <w:p w:rsidR="002C50E0" w:rsidRDefault="00577215">
      <w:pPr>
        <w:numPr>
          <w:ilvl w:val="0"/>
          <w:numId w:val="1"/>
        </w:numPr>
        <w:ind w:hanging="480"/>
      </w:pPr>
      <w:r>
        <w:t>依據教育部國民及學前教育署104年1月26日「104學年5歲幼兒免學費教育計畫補助作業暨相關配套措施</w:t>
      </w:r>
      <w:proofErr w:type="gramStart"/>
      <w:r>
        <w:t>研</w:t>
      </w:r>
      <w:proofErr w:type="gramEnd"/>
      <w:r>
        <w:t xml:space="preserve">商會議紀錄」辦理。 </w:t>
      </w:r>
    </w:p>
    <w:p w:rsidR="002C50E0" w:rsidRDefault="00577215">
      <w:pPr>
        <w:ind w:left="-5"/>
      </w:pPr>
      <w:r>
        <w:t xml:space="preserve">貳、主管機關 </w:t>
      </w:r>
    </w:p>
    <w:p w:rsidR="0070762D" w:rsidRDefault="00577215">
      <w:pPr>
        <w:ind w:left="-5" w:right="4051"/>
      </w:pPr>
      <w:r>
        <w:rPr>
          <w:b/>
        </w:rPr>
        <w:t xml:space="preserve">    </w:t>
      </w:r>
      <w:r w:rsidR="0070762D">
        <w:rPr>
          <w:rFonts w:hint="eastAsia"/>
        </w:rPr>
        <w:t>嘉義縣</w:t>
      </w:r>
      <w:r w:rsidR="0070762D">
        <w:t>政府教育</w:t>
      </w:r>
      <w:r w:rsidR="0070762D">
        <w:rPr>
          <w:rFonts w:hint="eastAsia"/>
        </w:rPr>
        <w:t>處</w:t>
      </w:r>
      <w:r>
        <w:t>(</w:t>
      </w:r>
      <w:r w:rsidR="0070762D">
        <w:t>以下簡稱本</w:t>
      </w:r>
      <w:r w:rsidR="0070762D">
        <w:rPr>
          <w:rFonts w:hint="eastAsia"/>
        </w:rPr>
        <w:t>府</w:t>
      </w:r>
      <w:r>
        <w:t xml:space="preserve">) </w:t>
      </w:r>
    </w:p>
    <w:p w:rsidR="002C50E0" w:rsidRDefault="00577215">
      <w:pPr>
        <w:ind w:left="-5" w:right="4051"/>
      </w:pPr>
      <w:r>
        <w:t xml:space="preserve">參、實施期間 </w:t>
      </w:r>
    </w:p>
    <w:p w:rsidR="002C50E0" w:rsidRDefault="00577215">
      <w:pPr>
        <w:ind w:left="490"/>
      </w:pPr>
      <w:r>
        <w:t xml:space="preserve">每年1至12月辦理（依實際工作進度調整）。 </w:t>
      </w:r>
    </w:p>
    <w:p w:rsidR="002C50E0" w:rsidRDefault="00577215">
      <w:pPr>
        <w:ind w:left="-5"/>
      </w:pPr>
      <w:r>
        <w:t xml:space="preserve">肆、查察對象 </w:t>
      </w:r>
    </w:p>
    <w:p w:rsidR="002C50E0" w:rsidRDefault="00577215">
      <w:pPr>
        <w:ind w:left="-5"/>
      </w:pPr>
      <w:r>
        <w:t xml:space="preserve">    </w:t>
      </w:r>
      <w:r w:rsidR="0070762D">
        <w:rPr>
          <w:rFonts w:hint="eastAsia"/>
        </w:rPr>
        <w:t>嘉義縣</w:t>
      </w:r>
      <w:r>
        <w:t>符合幼兒就讀幼兒園補助辦法第5條規定之公私立幼兒園(</w:t>
      </w:r>
      <w:proofErr w:type="gramStart"/>
      <w:r>
        <w:t>含分班</w:t>
      </w:r>
      <w:proofErr w:type="gramEnd"/>
      <w:r>
        <w:t xml:space="preserve">)。 </w:t>
      </w:r>
    </w:p>
    <w:p w:rsidR="005405EF" w:rsidRDefault="00577215">
      <w:pPr>
        <w:ind w:left="460" w:right="6336" w:hanging="475"/>
      </w:pPr>
      <w:r>
        <w:t xml:space="preserve">伍、稽核相關 </w:t>
      </w:r>
    </w:p>
    <w:p w:rsidR="002C50E0" w:rsidRDefault="005405EF">
      <w:pPr>
        <w:ind w:left="460" w:right="6336" w:hanging="475"/>
      </w:pPr>
      <w:r>
        <w:rPr>
          <w:rFonts w:hint="eastAsia"/>
        </w:rPr>
        <w:t xml:space="preserve">   </w:t>
      </w:r>
      <w:r w:rsidR="00577215">
        <w:t xml:space="preserve"> 一、稽核項目：</w:t>
      </w:r>
      <w:r w:rsidR="00577215">
        <w:rPr>
          <w:b/>
        </w:rPr>
        <w:t xml:space="preserve">    </w:t>
      </w:r>
      <w:r w:rsidR="00577215">
        <w:t xml:space="preserve">  </w:t>
      </w:r>
    </w:p>
    <w:p w:rsidR="002C50E0" w:rsidRDefault="00577215">
      <w:pPr>
        <w:ind w:left="485"/>
      </w:pPr>
      <w:r>
        <w:rPr>
          <w:b/>
          <w:color w:val="FF0000"/>
        </w:rPr>
        <w:t xml:space="preserve">    </w:t>
      </w:r>
      <w:r>
        <w:t xml:space="preserve"> (</w:t>
      </w:r>
      <w:proofErr w:type="gramStart"/>
      <w:r>
        <w:t>一</w:t>
      </w:r>
      <w:proofErr w:type="gramEnd"/>
      <w:r>
        <w:t>)收費情形</w:t>
      </w:r>
      <w:proofErr w:type="gramStart"/>
      <w:r>
        <w:t>─</w:t>
      </w:r>
      <w:proofErr w:type="gramEnd"/>
      <w:r>
        <w:t xml:space="preserve"> </w:t>
      </w:r>
    </w:p>
    <w:p w:rsidR="002C50E0" w:rsidRDefault="00577215">
      <w:pPr>
        <w:ind w:left="2309" w:hanging="307"/>
      </w:pPr>
      <w:r>
        <w:t>1.</w:t>
      </w:r>
      <w:r w:rsidR="006A0990">
        <w:t>幼兒園之收費項目、用途及公立幼兒園收費基準應依</w:t>
      </w:r>
      <w:proofErr w:type="gramStart"/>
      <w:r w:rsidR="006A0990">
        <w:t>本</w:t>
      </w:r>
      <w:r w:rsidR="006A0990">
        <w:rPr>
          <w:rFonts w:hint="eastAsia"/>
        </w:rPr>
        <w:t>府</w:t>
      </w:r>
      <w:r>
        <w:t>公私立</w:t>
      </w:r>
      <w:proofErr w:type="gramEnd"/>
      <w:r>
        <w:t xml:space="preserve">幼兒園收退費辦法辦理。 </w:t>
      </w:r>
    </w:p>
    <w:p w:rsidR="002C50E0" w:rsidRDefault="00577215">
      <w:pPr>
        <w:ind w:left="2309" w:hanging="307"/>
      </w:pPr>
      <w:r>
        <w:t xml:space="preserve">2.幼兒園之收費數額於每學年度開始對外公布，並報直轄市、縣(市)主管機關備查後，向幼兒之家長或監護人收取費用。 </w:t>
      </w:r>
    </w:p>
    <w:p w:rsidR="002C50E0" w:rsidRDefault="00577215">
      <w:pPr>
        <w:ind w:left="2309" w:hanging="307"/>
      </w:pPr>
      <w:r>
        <w:t>3.依全國幼生管理系統填報之各年齡層收費數額核對幼兒園留存之全園繳費存根聯，收費應符合</w:t>
      </w:r>
      <w:proofErr w:type="gramStart"/>
      <w:r>
        <w:t>幼照法</w:t>
      </w:r>
      <w:proofErr w:type="gramEnd"/>
      <w:r>
        <w:t xml:space="preserve">施行前登載於中央主管機關指定網站之額度或經直轄市、縣(市)主管機關審核通過之額度。 </w:t>
      </w:r>
    </w:p>
    <w:p w:rsidR="002C50E0" w:rsidRDefault="00577215">
      <w:pPr>
        <w:ind w:left="2309" w:hanging="307"/>
      </w:pPr>
      <w:r>
        <w:t>4.各項收費應列有明細，並開立收據，且</w:t>
      </w:r>
      <w:proofErr w:type="gramStart"/>
      <w:r>
        <w:t>未逾報送</w:t>
      </w:r>
      <w:proofErr w:type="gramEnd"/>
      <w:r>
        <w:t xml:space="preserve">直轄市、縣(市)主管機關備查之數額，不得有任意調漲收費之情事。 </w:t>
      </w:r>
    </w:p>
    <w:p w:rsidR="002C50E0" w:rsidRDefault="00577215">
      <w:pPr>
        <w:ind w:left="2309" w:hanging="307"/>
      </w:pPr>
      <w:r>
        <w:t>5.收退費基準及減免收費規定應於每學期開始前一個月公告，並告知家</w:t>
      </w:r>
      <w:r w:rsidR="00525F99">
        <w:rPr>
          <w:rFonts w:hint="eastAsia"/>
        </w:rPr>
        <w:t>長。</w:t>
      </w:r>
      <w:r>
        <w:t xml:space="preserve"> </w:t>
      </w:r>
    </w:p>
    <w:p w:rsidR="000E086C" w:rsidRDefault="006A0990">
      <w:pPr>
        <w:ind w:left="2755" w:hanging="2280"/>
      </w:pPr>
      <w:r>
        <w:t xml:space="preserve">     </w:t>
      </w:r>
      <w:r w:rsidR="00577215">
        <w:t>(二)免學費及弱勢加額補助款</w:t>
      </w:r>
      <w:proofErr w:type="gramStart"/>
      <w:r w:rsidR="00577215">
        <w:t>─</w:t>
      </w:r>
      <w:proofErr w:type="gramEnd"/>
    </w:p>
    <w:p w:rsidR="00525F99" w:rsidRDefault="000E086C" w:rsidP="000E086C">
      <w:pPr>
        <w:ind w:leftChars="50" w:left="120" w:firstLineChars="800" w:firstLine="1920"/>
      </w:pPr>
      <w:r>
        <w:t>1.</w:t>
      </w:r>
      <w:r w:rsidR="003F5672">
        <w:t>幼兒園應於本</w:t>
      </w:r>
      <w:r w:rsidR="003F5672">
        <w:rPr>
          <w:rFonts w:hint="eastAsia"/>
        </w:rPr>
        <w:t>府</w:t>
      </w:r>
      <w:r w:rsidR="00525F99">
        <w:t>撥付補助款後一個月內轉發至</w:t>
      </w:r>
      <w:r w:rsidR="00525F99">
        <w:rPr>
          <w:rFonts w:hint="eastAsia"/>
        </w:rPr>
        <w:t>家</w:t>
      </w:r>
    </w:p>
    <w:p w:rsidR="000E086C" w:rsidRDefault="006A0990" w:rsidP="000E086C">
      <w:pPr>
        <w:ind w:left="2755" w:hanging="2280"/>
      </w:pPr>
      <w:r>
        <w:rPr>
          <w:rFonts w:hint="eastAsia"/>
        </w:rPr>
        <w:t xml:space="preserve">         </w:t>
      </w:r>
      <w:r w:rsidR="000E086C">
        <w:rPr>
          <w:rFonts w:hint="eastAsia"/>
        </w:rPr>
        <w:t xml:space="preserve">      </w:t>
      </w:r>
      <w:r w:rsidR="00577215">
        <w:t>長簽收。</w:t>
      </w:r>
    </w:p>
    <w:p w:rsidR="002C50E0" w:rsidRDefault="000E086C" w:rsidP="000E086C">
      <w:pPr>
        <w:ind w:left="2755" w:hanging="2280"/>
        <w:rPr>
          <w:rFonts w:hint="eastAsia"/>
        </w:rPr>
      </w:pPr>
      <w:r>
        <w:rPr>
          <w:rFonts w:hint="eastAsia"/>
        </w:rPr>
        <w:t xml:space="preserve">             2.</w:t>
      </w:r>
      <w:r w:rsidRPr="000E086C">
        <w:rPr>
          <w:rFonts w:hint="eastAsia"/>
        </w:rPr>
        <w:t>園方應明確告知家長補助款撥付方式。</w:t>
      </w:r>
      <w:r w:rsidR="00577215">
        <w:t xml:space="preserve"> </w:t>
      </w:r>
    </w:p>
    <w:p w:rsidR="002C50E0" w:rsidRDefault="000E086C" w:rsidP="000E086C">
      <w:pPr>
        <w:numPr>
          <w:ilvl w:val="0"/>
          <w:numId w:val="2"/>
        </w:numPr>
        <w:ind w:hanging="480"/>
      </w:pPr>
      <w:r w:rsidRPr="000E086C">
        <w:rPr>
          <w:rFonts w:hint="eastAsia"/>
        </w:rPr>
        <w:t>稽核前不再另行通知</w:t>
      </w:r>
      <w:r w:rsidR="00577215">
        <w:t xml:space="preserve">，如當日幼兒園有外出活動，稽核人員得擇日再行前往。 </w:t>
      </w:r>
    </w:p>
    <w:p w:rsidR="002C50E0" w:rsidRDefault="00577215">
      <w:pPr>
        <w:numPr>
          <w:ilvl w:val="0"/>
          <w:numId w:val="2"/>
        </w:numPr>
        <w:ind w:hanging="480"/>
      </w:pPr>
      <w:proofErr w:type="gramStart"/>
      <w:r>
        <w:t>幼兒園請提具</w:t>
      </w:r>
      <w:proofErr w:type="gramEnd"/>
      <w:r>
        <w:t>以下相關資料，</w:t>
      </w:r>
      <w:proofErr w:type="gramStart"/>
      <w:r>
        <w:t>俾</w:t>
      </w:r>
      <w:proofErr w:type="gramEnd"/>
      <w:r>
        <w:t xml:space="preserve">利稽核人員進行核對： </w:t>
      </w:r>
    </w:p>
    <w:p w:rsidR="002C50E0" w:rsidRDefault="00577215">
      <w:pPr>
        <w:ind w:left="1090"/>
      </w:pPr>
      <w:r>
        <w:t>(</w:t>
      </w:r>
      <w:proofErr w:type="gramStart"/>
      <w:r>
        <w:t>一</w:t>
      </w:r>
      <w:proofErr w:type="gramEnd"/>
      <w:r>
        <w:t xml:space="preserve">)收費基準、退費基準及減免收費等3項規定之相關公告。  </w:t>
      </w:r>
    </w:p>
    <w:p w:rsidR="003F5672" w:rsidRDefault="00577215">
      <w:pPr>
        <w:ind w:left="1090"/>
      </w:pPr>
      <w:r>
        <w:t>(二)</w:t>
      </w:r>
      <w:proofErr w:type="gramStart"/>
      <w:r>
        <w:t>全園幼生</w:t>
      </w:r>
      <w:proofErr w:type="gramEnd"/>
      <w:r>
        <w:t>繳費存根聯 (當年度</w:t>
      </w:r>
      <w:proofErr w:type="gramStart"/>
      <w:r>
        <w:t>1月至訪視</w:t>
      </w:r>
      <w:proofErr w:type="gramEnd"/>
      <w:r>
        <w:t>當月份)。</w:t>
      </w:r>
    </w:p>
    <w:p w:rsidR="002C50E0" w:rsidRDefault="00577215">
      <w:pPr>
        <w:ind w:left="1090"/>
      </w:pPr>
      <w:r>
        <w:t>(三)5歲幼兒免學費</w:t>
      </w:r>
      <w:r w:rsidR="000E086C">
        <w:rPr>
          <w:rFonts w:hint="eastAsia"/>
        </w:rPr>
        <w:t>及</w:t>
      </w:r>
      <w:r>
        <w:t xml:space="preserve">弱勢加額之家長簽收補助款紀錄（含一個月內撥款證明）。 </w:t>
      </w:r>
    </w:p>
    <w:p w:rsidR="002C50E0" w:rsidRDefault="00577215">
      <w:pPr>
        <w:ind w:left="1622" w:hanging="542"/>
      </w:pPr>
      <w:r>
        <w:lastRenderedPageBreak/>
        <w:t>(四)</w:t>
      </w:r>
      <w:r w:rsidR="000E086C" w:rsidRPr="000E086C">
        <w:rPr>
          <w:rFonts w:hint="eastAsia"/>
        </w:rPr>
        <w:t>明確告知家長補助款撥付方式。</w:t>
      </w:r>
    </w:p>
    <w:p w:rsidR="002C50E0" w:rsidRDefault="00577215">
      <w:pPr>
        <w:numPr>
          <w:ilvl w:val="0"/>
          <w:numId w:val="2"/>
        </w:numPr>
        <w:ind w:hanging="480"/>
      </w:pPr>
      <w:r>
        <w:t>幼兒園提具之資料請影印1</w:t>
      </w:r>
      <w:r w:rsidR="00FA4098">
        <w:t>份，供本</w:t>
      </w:r>
      <w:r w:rsidR="00FA4098">
        <w:rPr>
          <w:rFonts w:hint="eastAsia"/>
        </w:rPr>
        <w:t>府</w:t>
      </w:r>
      <w:r>
        <w:t xml:space="preserve">稽核人員帶回留存備查。 </w:t>
      </w:r>
    </w:p>
    <w:p w:rsidR="002C50E0" w:rsidRDefault="00577215" w:rsidP="00581183">
      <w:pPr>
        <w:pStyle w:val="a3"/>
        <w:numPr>
          <w:ilvl w:val="0"/>
          <w:numId w:val="6"/>
        </w:numPr>
        <w:ind w:leftChars="0"/>
      </w:pPr>
      <w:r>
        <w:t xml:space="preserve">追蹤改善 </w:t>
      </w:r>
    </w:p>
    <w:p w:rsidR="00581183" w:rsidRDefault="00577215" w:rsidP="00581183">
      <w:pPr>
        <w:pStyle w:val="a3"/>
        <w:numPr>
          <w:ilvl w:val="0"/>
          <w:numId w:val="7"/>
        </w:numPr>
        <w:ind w:leftChars="0"/>
      </w:pPr>
      <w:r>
        <w:t>經實地稽核收費情形不符合規定者，限期改善，並視違規情形，依「幼兒教育及照</w:t>
      </w:r>
    </w:p>
    <w:p w:rsidR="002C50E0" w:rsidRDefault="00577215" w:rsidP="000E086C">
      <w:pPr>
        <w:pStyle w:val="a3"/>
        <w:ind w:leftChars="0" w:left="945" w:firstLine="0"/>
      </w:pPr>
      <w:proofErr w:type="gramStart"/>
      <w:r>
        <w:t>顧法</w:t>
      </w:r>
      <w:proofErr w:type="gramEnd"/>
      <w:r>
        <w:t xml:space="preserve">」及「幼兒就讀幼兒園補助辦法」規定辦理。  </w:t>
      </w:r>
    </w:p>
    <w:p w:rsidR="002C50E0" w:rsidRDefault="00577215" w:rsidP="00581183">
      <w:pPr>
        <w:numPr>
          <w:ilvl w:val="0"/>
          <w:numId w:val="7"/>
        </w:numPr>
      </w:pPr>
      <w:r>
        <w:t xml:space="preserve">限期改善期程：依違反事項予以行政裁量。 </w:t>
      </w:r>
    </w:p>
    <w:p w:rsidR="000E086C" w:rsidRDefault="00577215" w:rsidP="000E086C">
      <w:pPr>
        <w:pStyle w:val="a3"/>
        <w:numPr>
          <w:ilvl w:val="0"/>
          <w:numId w:val="5"/>
        </w:numPr>
        <w:ind w:leftChars="0"/>
      </w:pPr>
      <w:r>
        <w:t>注意事項</w:t>
      </w:r>
      <w:r w:rsidR="000E086C">
        <w:rPr>
          <w:rFonts w:hint="eastAsia"/>
        </w:rPr>
        <w:t>：</w:t>
      </w:r>
      <w:r>
        <w:t>符合幼兒就讀幼兒園補助辦法第5條規定之幼兒園(</w:t>
      </w:r>
      <w:proofErr w:type="gramStart"/>
      <w:r>
        <w:t>含分班</w:t>
      </w:r>
      <w:proofErr w:type="gramEnd"/>
      <w:r>
        <w:t>)以超過登載或審</w:t>
      </w:r>
    </w:p>
    <w:p w:rsidR="000E086C" w:rsidRDefault="000E086C" w:rsidP="000E086C">
      <w:pPr>
        <w:pStyle w:val="a3"/>
        <w:ind w:leftChars="0" w:left="465" w:firstLine="0"/>
      </w:pPr>
      <w:r>
        <w:rPr>
          <w:rFonts w:hint="eastAsia"/>
        </w:rPr>
        <w:t xml:space="preserve">          </w:t>
      </w:r>
      <w:r w:rsidR="00577215">
        <w:t>核通過之收費總額，向幼兒家長收費，經查證屬實者，除應立即退費外，自</w:t>
      </w:r>
    </w:p>
    <w:p w:rsidR="000E086C" w:rsidRDefault="000E086C" w:rsidP="000E086C">
      <w:pPr>
        <w:pStyle w:val="a3"/>
        <w:ind w:leftChars="0" w:left="465" w:firstLine="0"/>
      </w:pPr>
      <w:r>
        <w:rPr>
          <w:rFonts w:hint="eastAsia"/>
        </w:rPr>
        <w:t xml:space="preserve">          </w:t>
      </w:r>
      <w:r w:rsidR="00577215">
        <w:t>次學年起二學年，以不符合第 5 條所定幼兒園論；其經更換負責人、變更</w:t>
      </w:r>
    </w:p>
    <w:p w:rsidR="002C50E0" w:rsidRDefault="000E086C" w:rsidP="000E086C">
      <w:pPr>
        <w:pStyle w:val="a3"/>
        <w:ind w:leftChars="0" w:left="465" w:firstLine="0"/>
      </w:pPr>
      <w:r>
        <w:rPr>
          <w:rFonts w:hint="eastAsia"/>
        </w:rPr>
        <w:t xml:space="preserve">          </w:t>
      </w:r>
      <w:r w:rsidR="00577215">
        <w:t>園所名稱，或重新申</w:t>
      </w:r>
      <w:bookmarkStart w:id="0" w:name="_GoBack"/>
      <w:bookmarkEnd w:id="0"/>
      <w:r w:rsidR="00577215">
        <w:t xml:space="preserve">請設立許可者，亦同。 </w:t>
      </w:r>
    </w:p>
    <w:p w:rsidR="002C50E0" w:rsidRDefault="00577215">
      <w:pPr>
        <w:ind w:left="465" w:right="4296" w:hanging="480"/>
      </w:pPr>
      <w:r>
        <w:t>捌、實施日本計畫自</w:t>
      </w:r>
      <w:proofErr w:type="gramStart"/>
      <w:r>
        <w:t>奉核日起</w:t>
      </w:r>
      <w:proofErr w:type="gramEnd"/>
      <w:r>
        <w:t xml:space="preserve">實施，修正時亦同。 </w:t>
      </w:r>
    </w:p>
    <w:sectPr w:rsidR="002C50E0">
      <w:pgSz w:w="11900" w:h="16840"/>
      <w:pgMar w:top="1264" w:right="1071" w:bottom="69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A6C7F"/>
    <w:multiLevelType w:val="hybridMultilevel"/>
    <w:tmpl w:val="248EB5AC"/>
    <w:lvl w:ilvl="0" w:tplc="0B229518">
      <w:start w:val="1"/>
      <w:numFmt w:val="ideographDigital"/>
      <w:lvlText w:val="%1、"/>
      <w:lvlJc w:val="left"/>
      <w:pPr>
        <w:ind w:left="91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5AF83E56">
      <w:start w:val="1"/>
      <w:numFmt w:val="lowerLetter"/>
      <w:lvlText w:val="%2"/>
      <w:lvlJc w:val="left"/>
      <w:pPr>
        <w:ind w:left="15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E9AE6686">
      <w:start w:val="1"/>
      <w:numFmt w:val="lowerRoman"/>
      <w:lvlText w:val="%3"/>
      <w:lvlJc w:val="left"/>
      <w:pPr>
        <w:ind w:left="22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3EE2E5A">
      <w:start w:val="1"/>
      <w:numFmt w:val="decimal"/>
      <w:lvlText w:val="%4"/>
      <w:lvlJc w:val="left"/>
      <w:pPr>
        <w:ind w:left="29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586A466">
      <w:start w:val="1"/>
      <w:numFmt w:val="lowerLetter"/>
      <w:lvlText w:val="%5"/>
      <w:lvlJc w:val="left"/>
      <w:pPr>
        <w:ind w:left="36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8774E330">
      <w:start w:val="1"/>
      <w:numFmt w:val="lowerRoman"/>
      <w:lvlText w:val="%6"/>
      <w:lvlJc w:val="left"/>
      <w:pPr>
        <w:ind w:left="43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F0C35A4">
      <w:start w:val="1"/>
      <w:numFmt w:val="decimal"/>
      <w:lvlText w:val="%7"/>
      <w:lvlJc w:val="left"/>
      <w:pPr>
        <w:ind w:left="51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37E26BB8">
      <w:start w:val="1"/>
      <w:numFmt w:val="lowerLetter"/>
      <w:lvlText w:val="%8"/>
      <w:lvlJc w:val="left"/>
      <w:pPr>
        <w:ind w:left="58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850D6A8">
      <w:start w:val="1"/>
      <w:numFmt w:val="lowerRoman"/>
      <w:lvlText w:val="%9"/>
      <w:lvlJc w:val="left"/>
      <w:pPr>
        <w:ind w:left="65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31F67E4"/>
    <w:multiLevelType w:val="hybridMultilevel"/>
    <w:tmpl w:val="E7568560"/>
    <w:lvl w:ilvl="0" w:tplc="1B40C9B6">
      <w:start w:val="1"/>
      <w:numFmt w:val="ideographDigital"/>
      <w:lvlText w:val="%1、"/>
      <w:lvlJc w:val="left"/>
      <w:pPr>
        <w:ind w:left="10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056EA0E">
      <w:start w:val="1"/>
      <w:numFmt w:val="lowerLetter"/>
      <w:lvlText w:val="%2"/>
      <w:lvlJc w:val="left"/>
      <w:pPr>
        <w:ind w:left="16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B78C0BEA">
      <w:start w:val="1"/>
      <w:numFmt w:val="lowerRoman"/>
      <w:lvlText w:val="%3"/>
      <w:lvlJc w:val="left"/>
      <w:pPr>
        <w:ind w:left="23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69B48568">
      <w:start w:val="1"/>
      <w:numFmt w:val="decimal"/>
      <w:lvlText w:val="%4"/>
      <w:lvlJc w:val="left"/>
      <w:pPr>
        <w:ind w:left="304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9D0BA7C">
      <w:start w:val="1"/>
      <w:numFmt w:val="lowerLetter"/>
      <w:lvlText w:val="%5"/>
      <w:lvlJc w:val="left"/>
      <w:pPr>
        <w:ind w:left="376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CC161818">
      <w:start w:val="1"/>
      <w:numFmt w:val="lowerRoman"/>
      <w:lvlText w:val="%6"/>
      <w:lvlJc w:val="left"/>
      <w:pPr>
        <w:ind w:left="44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A26CBA00">
      <w:start w:val="1"/>
      <w:numFmt w:val="decimal"/>
      <w:lvlText w:val="%7"/>
      <w:lvlJc w:val="left"/>
      <w:pPr>
        <w:ind w:left="52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2AD48CDA">
      <w:start w:val="1"/>
      <w:numFmt w:val="lowerLetter"/>
      <w:lvlText w:val="%8"/>
      <w:lvlJc w:val="left"/>
      <w:pPr>
        <w:ind w:left="59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38AA086">
      <w:start w:val="1"/>
      <w:numFmt w:val="lowerRoman"/>
      <w:lvlText w:val="%9"/>
      <w:lvlJc w:val="left"/>
      <w:pPr>
        <w:ind w:left="664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84E509A"/>
    <w:multiLevelType w:val="hybridMultilevel"/>
    <w:tmpl w:val="48601332"/>
    <w:lvl w:ilvl="0" w:tplc="C6124BA4">
      <w:start w:val="2"/>
      <w:numFmt w:val="ideographDigital"/>
      <w:lvlText w:val="%1、"/>
      <w:lvlJc w:val="left"/>
      <w:pPr>
        <w:ind w:left="95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lang w:val="en-US"/>
      </w:rPr>
    </w:lvl>
    <w:lvl w:ilvl="1" w:tplc="FFB8BA06">
      <w:start w:val="1"/>
      <w:numFmt w:val="lowerLetter"/>
      <w:lvlText w:val="%2"/>
      <w:lvlJc w:val="left"/>
      <w:pPr>
        <w:ind w:left="155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E282430">
      <w:start w:val="1"/>
      <w:numFmt w:val="lowerRoman"/>
      <w:lvlText w:val="%3"/>
      <w:lvlJc w:val="left"/>
      <w:pPr>
        <w:ind w:left="227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AD04E0BE">
      <w:start w:val="1"/>
      <w:numFmt w:val="decimal"/>
      <w:lvlText w:val="%4"/>
      <w:lvlJc w:val="left"/>
      <w:pPr>
        <w:ind w:left="299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E9E8EAA">
      <w:start w:val="1"/>
      <w:numFmt w:val="lowerLetter"/>
      <w:lvlText w:val="%5"/>
      <w:lvlJc w:val="left"/>
      <w:pPr>
        <w:ind w:left="371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7BA8453C">
      <w:start w:val="1"/>
      <w:numFmt w:val="lowerRoman"/>
      <w:lvlText w:val="%6"/>
      <w:lvlJc w:val="left"/>
      <w:pPr>
        <w:ind w:left="443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62663CBE">
      <w:start w:val="1"/>
      <w:numFmt w:val="decimal"/>
      <w:lvlText w:val="%7"/>
      <w:lvlJc w:val="left"/>
      <w:pPr>
        <w:ind w:left="515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45C1AB6">
      <w:start w:val="1"/>
      <w:numFmt w:val="lowerLetter"/>
      <w:lvlText w:val="%8"/>
      <w:lvlJc w:val="left"/>
      <w:pPr>
        <w:ind w:left="587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62066C0">
      <w:start w:val="1"/>
      <w:numFmt w:val="lowerRoman"/>
      <w:lvlText w:val="%9"/>
      <w:lvlJc w:val="left"/>
      <w:pPr>
        <w:ind w:left="659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92B625B"/>
    <w:multiLevelType w:val="hybridMultilevel"/>
    <w:tmpl w:val="FB5CA8B6"/>
    <w:lvl w:ilvl="0" w:tplc="00343B16">
      <w:start w:val="1"/>
      <w:numFmt w:val="ideographDigital"/>
      <w:lvlText w:val="%1、"/>
      <w:lvlJc w:val="left"/>
      <w:pPr>
        <w:ind w:left="93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2B6C24E8">
      <w:start w:val="1"/>
      <w:numFmt w:val="lowerLetter"/>
      <w:lvlText w:val="%2"/>
      <w:lvlJc w:val="left"/>
      <w:pPr>
        <w:ind w:left="16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2D7A0684">
      <w:start w:val="1"/>
      <w:numFmt w:val="lowerRoman"/>
      <w:lvlText w:val="%3"/>
      <w:lvlJc w:val="left"/>
      <w:pPr>
        <w:ind w:left="23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597AF35A">
      <w:start w:val="1"/>
      <w:numFmt w:val="decimal"/>
      <w:lvlText w:val="%4"/>
      <w:lvlJc w:val="left"/>
      <w:pPr>
        <w:ind w:left="304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674F120">
      <w:start w:val="1"/>
      <w:numFmt w:val="lowerLetter"/>
      <w:lvlText w:val="%5"/>
      <w:lvlJc w:val="left"/>
      <w:pPr>
        <w:ind w:left="376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4B0BA18">
      <w:start w:val="1"/>
      <w:numFmt w:val="lowerRoman"/>
      <w:lvlText w:val="%6"/>
      <w:lvlJc w:val="left"/>
      <w:pPr>
        <w:ind w:left="44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A5508698">
      <w:start w:val="1"/>
      <w:numFmt w:val="decimal"/>
      <w:lvlText w:val="%7"/>
      <w:lvlJc w:val="left"/>
      <w:pPr>
        <w:ind w:left="52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FF863CB2">
      <w:start w:val="1"/>
      <w:numFmt w:val="lowerLetter"/>
      <w:lvlText w:val="%8"/>
      <w:lvlJc w:val="left"/>
      <w:pPr>
        <w:ind w:left="59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68C9F64">
      <w:start w:val="1"/>
      <w:numFmt w:val="lowerRoman"/>
      <w:lvlText w:val="%9"/>
      <w:lvlJc w:val="left"/>
      <w:pPr>
        <w:ind w:left="664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A621144"/>
    <w:multiLevelType w:val="hybridMultilevel"/>
    <w:tmpl w:val="E08E6054"/>
    <w:lvl w:ilvl="0" w:tplc="17AA5882">
      <w:start w:val="1"/>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5" w15:restartNumberingAfterBreak="0">
    <w:nsid w:val="715945AF"/>
    <w:multiLevelType w:val="hybridMultilevel"/>
    <w:tmpl w:val="01FA3D38"/>
    <w:lvl w:ilvl="0" w:tplc="E994773E">
      <w:start w:val="7"/>
      <w:numFmt w:val="ideographLegalTraditional"/>
      <w:lvlText w:val="%1、"/>
      <w:lvlJc w:val="left"/>
      <w:pPr>
        <w:ind w:left="465" w:hanging="480"/>
      </w:pPr>
      <w:rPr>
        <w:rFonts w:hint="default"/>
      </w:rPr>
    </w:lvl>
    <w:lvl w:ilvl="1" w:tplc="04090019" w:tentative="1">
      <w:start w:val="1"/>
      <w:numFmt w:val="ideographTraditional"/>
      <w:lvlText w:val="%2、"/>
      <w:lvlJc w:val="left"/>
      <w:pPr>
        <w:ind w:left="945" w:hanging="480"/>
      </w:p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abstractNum w:abstractNumId="6" w15:restartNumberingAfterBreak="0">
    <w:nsid w:val="7F6C2952"/>
    <w:multiLevelType w:val="hybridMultilevel"/>
    <w:tmpl w:val="EBA6E0A0"/>
    <w:lvl w:ilvl="0" w:tplc="820C85A0">
      <w:start w:val="6"/>
      <w:numFmt w:val="ideographLegalTraditional"/>
      <w:lvlText w:val="%1、"/>
      <w:lvlJc w:val="left"/>
      <w:pPr>
        <w:ind w:left="465" w:hanging="480"/>
      </w:pPr>
      <w:rPr>
        <w:rFonts w:hint="default"/>
      </w:rPr>
    </w:lvl>
    <w:lvl w:ilvl="1" w:tplc="04090019" w:tentative="1">
      <w:start w:val="1"/>
      <w:numFmt w:val="ideographTraditional"/>
      <w:lvlText w:val="%2、"/>
      <w:lvlJc w:val="left"/>
      <w:pPr>
        <w:ind w:left="945" w:hanging="480"/>
      </w:p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num w:numId="1">
    <w:abstractNumId w:val="0"/>
  </w:num>
  <w:num w:numId="2">
    <w:abstractNumId w:val="2"/>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E0"/>
    <w:rsid w:val="000E086C"/>
    <w:rsid w:val="002C50E0"/>
    <w:rsid w:val="003F5672"/>
    <w:rsid w:val="0047785E"/>
    <w:rsid w:val="00525F99"/>
    <w:rsid w:val="005405EF"/>
    <w:rsid w:val="00577215"/>
    <w:rsid w:val="00581183"/>
    <w:rsid w:val="006A0990"/>
    <w:rsid w:val="0070762D"/>
    <w:rsid w:val="00742262"/>
    <w:rsid w:val="00D81B76"/>
    <w:rsid w:val="00FA4098"/>
    <w:rsid w:val="00FA40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C272F-0F91-4A96-B0D9-F12EABFA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309" w:lineRule="auto"/>
      <w:ind w:left="10" w:hanging="10"/>
    </w:pPr>
    <w:rPr>
      <w:rFonts w:ascii="標楷體" w:eastAsia="標楷體" w:hAnsi="標楷體" w:cs="標楷體"/>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85E"/>
    <w:pPr>
      <w:ind w:leftChars="200" w:left="480"/>
    </w:pPr>
  </w:style>
  <w:style w:type="paragraph" w:styleId="a4">
    <w:name w:val="Balloon Text"/>
    <w:basedOn w:val="a"/>
    <w:link w:val="a5"/>
    <w:uiPriority w:val="99"/>
    <w:semiHidden/>
    <w:unhideWhenUsed/>
    <w:rsid w:val="005405EF"/>
    <w:pPr>
      <w:spacing w:after="0" w:line="240" w:lineRule="auto"/>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405E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998</Characters>
  <Application>Microsoft Office Word</Application>
  <DocSecurity>0</DocSecurity>
  <Lines>8</Lines>
  <Paragraphs>2</Paragraphs>
  <ScaleCrop>false</ScaleCrop>
  <Company>CYHG</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陳俞安</dc:creator>
  <cp:keywords/>
  <cp:lastModifiedBy>陳俞安</cp:lastModifiedBy>
  <cp:revision>2</cp:revision>
  <cp:lastPrinted>2015-02-17T06:05:00Z</cp:lastPrinted>
  <dcterms:created xsi:type="dcterms:W3CDTF">2016-01-06T06:36:00Z</dcterms:created>
  <dcterms:modified xsi:type="dcterms:W3CDTF">2016-01-06T06:36:00Z</dcterms:modified>
</cp:coreProperties>
</file>